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B7" w:rsidRDefault="00040DA1">
      <w:pPr>
        <w:pStyle w:val="ad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муниципального автономного </w:t>
      </w:r>
    </w:p>
    <w:p w:rsidR="008109B7" w:rsidRDefault="00040DA1">
      <w:pPr>
        <w:pStyle w:val="a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образовательного учреждения города Калининграда </w:t>
      </w:r>
    </w:p>
    <w:p w:rsidR="008109B7" w:rsidRDefault="00040DA1">
      <w:pPr>
        <w:pStyle w:val="ad"/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детского сада № 115, реализующего образовательные программы дошкольного образования</w:t>
      </w:r>
    </w:p>
    <w:p w:rsidR="008109B7" w:rsidRDefault="00040DA1">
      <w:pPr>
        <w:pStyle w:val="ad"/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2014 – 2015 учебного года</w:t>
      </w:r>
    </w:p>
    <w:p w:rsidR="008109B7" w:rsidRDefault="008109B7">
      <w:pPr>
        <w:pStyle w:val="ad"/>
      </w:pPr>
    </w:p>
    <w:p w:rsidR="008109B7" w:rsidRDefault="00040DA1">
      <w:pPr>
        <w:pStyle w:val="a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организации:</w:t>
      </w:r>
    </w:p>
    <w:p w:rsidR="008109B7" w:rsidRDefault="008109B7">
      <w:pPr>
        <w:pStyle w:val="ad"/>
      </w:pPr>
    </w:p>
    <w:p w:rsidR="008109B7" w:rsidRDefault="00040DA1">
      <w:pPr>
        <w:pStyle w:val="ad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>
        <w:rPr>
          <w:rFonts w:ascii="Times New Roman" w:hAnsi="Times New Roman" w:cs="Times New Roman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города Калининграда детский сад № 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</w:t>
      </w:r>
      <w:r>
        <w:rPr>
          <w:rFonts w:ascii="Times New Roman" w:hAnsi="Times New Roman" w:cs="Times New Roman"/>
          <w:sz w:val="28"/>
          <w:szCs w:val="28"/>
          <w:u w:val="single"/>
        </w:rPr>
        <w:t>г. Калининград, улица Великолукская,  д. 7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групп в организации, в т.ч.: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общеразвивающих групп – </w:t>
      </w:r>
      <w:r>
        <w:rPr>
          <w:rFonts w:ascii="Times New Roman" w:hAnsi="Times New Roman" w:cs="Times New Roman"/>
          <w:sz w:val="28"/>
          <w:szCs w:val="28"/>
          <w:u w:val="single"/>
        </w:rPr>
        <w:t>11;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 кратковременного пребывания –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сотрудников по состоянию на 01.07.2014г. - 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– </w:t>
      </w:r>
      <w:r>
        <w:rPr>
          <w:rFonts w:ascii="Times New Roman" w:hAnsi="Times New Roman" w:cs="Times New Roman"/>
          <w:sz w:val="28"/>
          <w:szCs w:val="28"/>
          <w:u w:val="single"/>
        </w:rPr>
        <w:t>20;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 управленческих – </w:t>
      </w:r>
      <w:r>
        <w:rPr>
          <w:rFonts w:ascii="Times New Roman" w:hAnsi="Times New Roman" w:cs="Times New Roman"/>
          <w:sz w:val="28"/>
          <w:szCs w:val="28"/>
          <w:u w:val="single"/>
        </w:rPr>
        <w:t>3;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вспомогательных -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енность педагогических работников, имеющих: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 - </w:t>
      </w:r>
      <w:r>
        <w:rPr>
          <w:rFonts w:ascii="Times New Roman" w:hAnsi="Times New Roman" w:cs="Times New Roman"/>
          <w:sz w:val="28"/>
          <w:szCs w:val="28"/>
          <w:u w:val="single"/>
        </w:rPr>
        <w:t>2;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>Число воспитанников в возрасте: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от 0 до 3 лет –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от 3 до 7 лет – </w:t>
      </w:r>
      <w:r>
        <w:rPr>
          <w:rFonts w:ascii="Times New Roman" w:hAnsi="Times New Roman" w:cs="Times New Roman"/>
          <w:sz w:val="28"/>
          <w:szCs w:val="28"/>
          <w:u w:val="single"/>
        </w:rPr>
        <w:t>240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из них 5-7 лет – </w:t>
      </w:r>
      <w:r>
        <w:rPr>
          <w:rFonts w:ascii="Times New Roman" w:hAnsi="Times New Roman" w:cs="Times New Roman"/>
          <w:sz w:val="28"/>
          <w:szCs w:val="28"/>
          <w:u w:val="single"/>
        </w:rPr>
        <w:t>106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>Число воспитанников, обучающихся по Ф</w:t>
      </w:r>
      <w:r>
        <w:rPr>
          <w:rFonts w:ascii="Times New Roman" w:hAnsi="Times New Roman" w:cs="Times New Roman"/>
          <w:sz w:val="28"/>
          <w:szCs w:val="28"/>
        </w:rPr>
        <w:t xml:space="preserve">ГОС -   </w:t>
      </w:r>
      <w:r>
        <w:rPr>
          <w:rFonts w:ascii="Times New Roman" w:hAnsi="Times New Roman" w:cs="Times New Roman"/>
          <w:sz w:val="28"/>
          <w:szCs w:val="28"/>
          <w:u w:val="single"/>
        </w:rPr>
        <w:t>240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Число работников административно-управленческого персонала, прошедших повышение квалификации по программе «Менеджмент в образовании» -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Число работников, с которыми заключен эффективный контракт – 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8109B7">
      <w:pPr>
        <w:pStyle w:val="ad"/>
      </w:pPr>
    </w:p>
    <w:p w:rsidR="008109B7" w:rsidRDefault="00040DA1">
      <w:pPr>
        <w:pStyle w:val="a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качества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8109B7" w:rsidRDefault="008109B7">
      <w:pPr>
        <w:pStyle w:val="ad"/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0"/>
        <w:gridCol w:w="3442"/>
        <w:gridCol w:w="1701"/>
        <w:gridCol w:w="2127"/>
        <w:gridCol w:w="141"/>
        <w:gridCol w:w="1526"/>
      </w:tblGrid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заполняется организацией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комиссии</w:t>
            </w: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2"/>
              </w:numPr>
              <w:spacing w:after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образовательного процесса в организации</w:t>
            </w: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 в МАДОУ: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Дополнительные программы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Авторские программы, утвержденные внешней экспертизой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Инновационная деятельность:</w:t>
            </w:r>
          </w:p>
          <w:p w:rsidR="008109B7" w:rsidRDefault="008109B7">
            <w:pPr>
              <w:pStyle w:val="ad"/>
              <w:spacing w:after="0"/>
              <w:ind w:left="720"/>
              <w:jc w:val="left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 направление («Истоки Воспитание на социокультурном опыте»)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Апробация ФГОС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Региональная программа экологического образования «Хранители природы»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экспериментальная площадка «Психолого-психологическое сопровождение образовательного процесса в современных условиях»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воспитательно-образовательного процесса организации</w:t>
            </w: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Охват воспитанников организации дополнительным образованием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воспитанников, получающих бесплатные услуги в организации (кружки, секции, логопедические пункты,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консульт-пункты)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воспитанников, охваченных дополнительным образованием, включая группы кратковременного пребывания (пятичасовые)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98%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воспитанников организации в конкурсах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Победитель, призер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(очного)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Победитель, призер областного (очного) конкурса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Победитель, призер всероссийского (очного)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Победитель, призер международного (очного)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работников организации в мероприятиях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Победитель, призер муниципального (очного)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Победитель, призер областного (очного) конкурса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Победитель, призер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всероссийского (очного)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работников, участвующих в составе жюри, экспертных групп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работников, представивших свой опыт на мероприятиях муниципального уровня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работников, представивших свой опыт на мероприятиях областного уровня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5.7.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работников, представивших свой опыт на мероприятиях международного уровня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работы организации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жалоб родителей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договоров, соглашений с заинтересованными организациями (МАУ «Методический центр»;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культуры городского округа «Город Калининград»; Калининградская централизованная библиотечная система; ГУК КОМ государственная галерея;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МАДОУ ДОД ДМШ им. Глинки М.И.;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МОУСОШ № 3 )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организации по сохранению и укреплению здоровья детей</w:t>
            </w: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работы по здоровьесбережению в организации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случаев травматизма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Заболеваемость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ребенком в месяц (более 3)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Ресурсное обеспечение организации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педагогических работников, работающих по ФГОС, от общей численности педагогических работников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Бюджетные средства, привлеченные организацией (сверх норматива) за отчетный период в результате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участия конкурсных мероприятиях, выделенных по ходатайству депутатов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 тыс. руб. 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 веранды);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2000000 мил. руб.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(утепление фасада)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средства организации, привлеченные за отчетный период за счет грантов, предпринимательской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деятельности, пожертвований частных лиц и негосударственных организаций, оказания платных услуг, из них направлено на развитие материально-технической базы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тыс. руб.</w:t>
            </w: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585 850 рублей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на развитие материально-технической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базы организации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207 662 рубля</w:t>
            </w: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8.6.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Соотношение численности работников административно-управленческого и вспомогательного персонала в общей численности работников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8.7.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педагогических работников организации, прошедших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течение последних 3 лет повышение квалификации или профессиональную подготовку в соответствии с ФГОС, от общей численности педагогических работников 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8.8.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воспитанников организации в расчете на одного педагогического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8.9.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Соотношение численности штатных педагогических работников организации со стажем менее 10 лет от общей численности штатных педагогических работников организации по состоянию на 01.01.2014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заработная плата педагогических работников организации за период с января по июнь 2014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27 123 рубля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</w:tbl>
    <w:p w:rsidR="008109B7" w:rsidRDefault="008109B7">
      <w:pPr>
        <w:pStyle w:val="ad"/>
        <w:jc w:val="both"/>
      </w:pP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109B7" w:rsidRDefault="008109B7">
      <w:pPr>
        <w:pStyle w:val="ad"/>
        <w:jc w:val="left"/>
      </w:pPr>
    </w:p>
    <w:p w:rsidR="008109B7" w:rsidRDefault="00040DA1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>Само-обследование МАДОУ д/с № 115</w:t>
      </w:r>
    </w:p>
    <w:p w:rsidR="008109B7" w:rsidRDefault="008109B7">
      <w:pPr>
        <w:pStyle w:val="ad"/>
      </w:pPr>
    </w:p>
    <w:p w:rsidR="008109B7" w:rsidRDefault="008109B7">
      <w:pPr>
        <w:pStyle w:val="ad"/>
        <w:jc w:val="left"/>
      </w:pP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города Калининграда детский сад № 115-двухэтажное здание, построенное в 1972 году, здание рассчитано на 13 групп, (12 общеразвивающих и 1 группа кратковременного пребывания), что и  имеется на сегодня. Груп</w:t>
      </w:r>
      <w:r>
        <w:rPr>
          <w:rFonts w:ascii="Times New Roman" w:hAnsi="Times New Roman" w:cs="Times New Roman"/>
          <w:sz w:val="28"/>
          <w:szCs w:val="28"/>
        </w:rPr>
        <w:t>пы оборудованы необходимой мебелью, соответствующей по параметрам возрастным особенностям детей и гигиеническим требованиям.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Здание ДОУ окружено забором, по периметру детского сада  установлено видеонаблюдение. Прогулочные и спортивные участки с игр</w:t>
      </w:r>
      <w:r>
        <w:rPr>
          <w:rFonts w:ascii="Times New Roman" w:hAnsi="Times New Roman" w:cs="Times New Roman"/>
          <w:sz w:val="28"/>
          <w:szCs w:val="28"/>
        </w:rPr>
        <w:t xml:space="preserve">овым и спортивным оборудованием  имеют травяное, из утрамбованного грунта, беспыльное покрытие.  Прогулочные участки  оснащены новым оборудованием-  это песочницы, качалки, скамейки, песочные домики, машинки, карета, лодочка, спортивный комплекс «Жираф» и </w:t>
      </w:r>
      <w:r>
        <w:rPr>
          <w:rFonts w:ascii="Times New Roman" w:hAnsi="Times New Roman" w:cs="Times New Roman"/>
          <w:sz w:val="28"/>
          <w:szCs w:val="28"/>
        </w:rPr>
        <w:t xml:space="preserve">др.  Всё оборудование соответствует антропометрическим данным детей, прочное, надёжное, пригодное для эксплуатации. Для озеленения посажены кусты, разбиты клумбы с цветочными композициями, отвечающие требованиям ландшафтного дизайна.  </w:t>
      </w:r>
    </w:p>
    <w:p w:rsidR="008109B7" w:rsidRDefault="008109B7">
      <w:pPr>
        <w:pStyle w:val="ad"/>
        <w:jc w:val="left"/>
      </w:pP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    Структура груп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>В дошкольном учреждении  функционирует 12 групп: 11 общеразвивающих и 1 группа кратковременного пребывания.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  <w:u w:val="single"/>
        </w:rPr>
        <w:t>Списочный состав по группам: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1 младшая – 20;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2 младшая - 52;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Средняя – 76;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Старшие – 53;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Подготовительные- 75;</w:t>
      </w:r>
    </w:p>
    <w:p w:rsidR="008109B7" w:rsidRDefault="00040DA1">
      <w:pPr>
        <w:pStyle w:val="ad"/>
        <w:numPr>
          <w:ilvl w:val="0"/>
          <w:numId w:val="3"/>
        </w:numPr>
        <w:pBdr>
          <w:bottom w:val="single" w:sz="12" w:space="0" w:color="00000A"/>
        </w:pBdr>
        <w:jc w:val="left"/>
      </w:pPr>
      <w:r>
        <w:rPr>
          <w:rFonts w:ascii="Times New Roman" w:hAnsi="Times New Roman" w:cs="Times New Roman"/>
          <w:sz w:val="28"/>
          <w:szCs w:val="28"/>
        </w:rPr>
        <w:t>Группа КП – 8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b/>
          <w:sz w:val="28"/>
          <w:szCs w:val="28"/>
        </w:rPr>
        <w:t>Всего: 284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МАДОУ д/с № 115 является комитет по образованию администрации городского округа «Город Калининград», расположенный по адресу: г. Калининград, ул. Чайковского д. 52.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 Современное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учреждение как первое звено в общей образовательной си</w:t>
      </w:r>
      <w:r>
        <w:rPr>
          <w:rFonts w:ascii="Times New Roman" w:hAnsi="Times New Roman" w:cs="Times New Roman"/>
          <w:sz w:val="28"/>
          <w:szCs w:val="28"/>
        </w:rPr>
        <w:t>стеме приобрело все черты самостоятельности: мы имеем статус автономного учреждения и, соответственно, формируем свои цели, задачи, разрабатываем стратегию развития (программа развития ДОУ) изыскиваем ресурсы для их реализации.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Важным фактором функционир</w:t>
      </w:r>
      <w:r>
        <w:rPr>
          <w:rFonts w:ascii="Times New Roman" w:hAnsi="Times New Roman" w:cs="Times New Roman"/>
          <w:sz w:val="28"/>
          <w:szCs w:val="28"/>
        </w:rPr>
        <w:t>ования и целью управления организации на современном этапе является обеспечение совокупности оптимальных: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>- нормативно-правовых;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>- финансово-экономических;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>- материально-технических;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>- содержательных и организационно-управленческих условий для развития все</w:t>
      </w:r>
      <w:r>
        <w:rPr>
          <w:rFonts w:ascii="Times New Roman" w:hAnsi="Times New Roman" w:cs="Times New Roman"/>
          <w:sz w:val="28"/>
          <w:szCs w:val="28"/>
        </w:rPr>
        <w:t xml:space="preserve">х участников образовательного процесса. 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    В МАДОУ разработана основная образовательная программа дошкольного образования.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Это предполагает введение некого образовательного стандарта к структуре образовательной программы, условием её реализации и </w:t>
      </w:r>
      <w:r>
        <w:rPr>
          <w:rFonts w:ascii="Times New Roman" w:hAnsi="Times New Roman" w:cs="Times New Roman"/>
          <w:sz w:val="28"/>
          <w:szCs w:val="28"/>
        </w:rPr>
        <w:t>результатом освоения.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В ДОУ требования к результатам  представлены в виде целевых ориентиров, т.е. характеристик возможных достижений ребёнка в соответствии с его возрастными и индивидуальными особенностями. Кроме того в учреждение  2014, 2015,  2016 год</w:t>
      </w:r>
      <w:r>
        <w:rPr>
          <w:rFonts w:ascii="Times New Roman" w:hAnsi="Times New Roman" w:cs="Times New Roman"/>
          <w:sz w:val="28"/>
          <w:szCs w:val="28"/>
        </w:rPr>
        <w:t xml:space="preserve">ы это период создания условий для обеспечения введения ФГОС. 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В связи с этим проводится ряд мероприятий: </w:t>
      </w:r>
    </w:p>
    <w:p w:rsidR="008109B7" w:rsidRDefault="00040DA1">
      <w:pPr>
        <w:pStyle w:val="ad"/>
        <w:jc w:val="left"/>
      </w:pPr>
      <w:r>
        <w:rPr>
          <w:rFonts w:ascii="Times New Roman" w:hAnsi="Times New Roman" w:cs="Times New Roman"/>
          <w:sz w:val="28"/>
          <w:szCs w:val="28"/>
        </w:rPr>
        <w:t>На сегодняшний день: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Создана рабочая группа по введению в ФГОС;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Ведётся работа по созданию системы методической работы, обеспечивающей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введение ФГОС;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Корректируется план повышения квалификации педагогов ДОУ;</w:t>
      </w:r>
    </w:p>
    <w:p w:rsidR="008109B7" w:rsidRDefault="00040DA1">
      <w:pPr>
        <w:pStyle w:val="ad"/>
        <w:numPr>
          <w:ilvl w:val="0"/>
          <w:numId w:val="3"/>
        </w:numPr>
        <w:jc w:val="left"/>
      </w:pPr>
      <w:r>
        <w:rPr>
          <w:rFonts w:ascii="Times New Roman" w:hAnsi="Times New Roman" w:cs="Times New Roman"/>
          <w:sz w:val="28"/>
          <w:szCs w:val="28"/>
        </w:rPr>
        <w:t>Созданы условия для участия воспитателей в учебно - методических мероприятиях, направленных на повышение уровня их квалификации и компетенций в вопросах обеспечения ФГОС (семинары, п</w:t>
      </w:r>
      <w:r>
        <w:rPr>
          <w:rFonts w:ascii="Times New Roman" w:hAnsi="Times New Roman" w:cs="Times New Roman"/>
          <w:sz w:val="28"/>
          <w:szCs w:val="28"/>
        </w:rPr>
        <w:t>едсоветы, круглые столы и т.д.)</w:t>
      </w:r>
    </w:p>
    <w:p w:rsidR="008109B7" w:rsidRDefault="008109B7">
      <w:pPr>
        <w:pStyle w:val="ad"/>
        <w:jc w:val="left"/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0"/>
        <w:gridCol w:w="3442"/>
        <w:gridCol w:w="1701"/>
        <w:gridCol w:w="2127"/>
        <w:gridCol w:w="1667"/>
      </w:tblGrid>
      <w:tr w:rsidR="008109B7"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образовательного процесса в организации</w:t>
            </w:r>
          </w:p>
        </w:tc>
      </w:tr>
      <w:tr w:rsidR="008109B7"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программы в МАДОУ:</w:t>
            </w: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Дополнительные программы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Авторские программы, утвержденные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внешней экспертизой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</w:tbl>
    <w:p w:rsidR="008109B7" w:rsidRDefault="008109B7">
      <w:pPr>
        <w:pStyle w:val="a0"/>
      </w:pPr>
    </w:p>
    <w:p w:rsidR="008109B7" w:rsidRDefault="00040DA1">
      <w:pPr>
        <w:pStyle w:val="a0"/>
      </w:pPr>
      <w:r>
        <w:rPr>
          <w:b/>
          <w:sz w:val="28"/>
          <w:szCs w:val="28"/>
        </w:rPr>
        <w:t xml:space="preserve">    Для эффективности воспитательно</w:t>
      </w:r>
      <w:r>
        <w:rPr>
          <w:sz w:val="28"/>
          <w:szCs w:val="28"/>
        </w:rPr>
        <w:t xml:space="preserve"> -  образовательного процесса в нашем учреждении представлен спектр дополнительных образовательных услуг.</w:t>
      </w:r>
    </w:p>
    <w:p w:rsidR="008109B7" w:rsidRDefault="00040DA1">
      <w:pPr>
        <w:pStyle w:val="a0"/>
      </w:pPr>
      <w:r>
        <w:rPr>
          <w:sz w:val="28"/>
          <w:szCs w:val="28"/>
        </w:rPr>
        <w:t xml:space="preserve">   Кружки посещают дети со сходными интересами и способностями. Они вместе </w:t>
      </w:r>
      <w:r>
        <w:rPr>
          <w:sz w:val="28"/>
          <w:szCs w:val="28"/>
        </w:rPr>
        <w:t>занимаются соответствующей деятельностью в специально для этого обустроенного класса, для дополнительных занятий.</w:t>
      </w:r>
    </w:p>
    <w:p w:rsidR="008109B7" w:rsidRDefault="00040DA1">
      <w:pPr>
        <w:pStyle w:val="a0"/>
      </w:pPr>
      <w:r>
        <w:rPr>
          <w:sz w:val="28"/>
          <w:szCs w:val="28"/>
        </w:rPr>
        <w:t xml:space="preserve">  Деятельность кружков осуществляется по трём направленностям: физическому, социально-педагогическому и художественно-эстетическому, на основе</w:t>
      </w:r>
      <w:r>
        <w:rPr>
          <w:sz w:val="28"/>
          <w:szCs w:val="28"/>
        </w:rPr>
        <w:t xml:space="preserve"> авторских программ, разработанных педагогами ДОУ. </w:t>
      </w:r>
    </w:p>
    <w:p w:rsidR="008109B7" w:rsidRDefault="00040DA1">
      <w:pPr>
        <w:pStyle w:val="a0"/>
      </w:pPr>
      <w:r>
        <w:rPr>
          <w:sz w:val="28"/>
          <w:szCs w:val="28"/>
        </w:rPr>
        <w:t xml:space="preserve"> Доля воспитанников, получивших бесплатные услуги в организации в том числе: кружки, секции, логопедический пункт, составляет </w:t>
      </w:r>
      <w:r>
        <w:rPr>
          <w:b/>
          <w:sz w:val="28"/>
          <w:szCs w:val="28"/>
        </w:rPr>
        <w:t>26%</w:t>
      </w:r>
      <w:r>
        <w:rPr>
          <w:sz w:val="28"/>
          <w:szCs w:val="28"/>
        </w:rPr>
        <w:t>, а доля воспитанников, охваченных дополнительными платными услугами, соста</w:t>
      </w:r>
      <w:r>
        <w:rPr>
          <w:sz w:val="28"/>
          <w:szCs w:val="28"/>
        </w:rPr>
        <w:t xml:space="preserve">вляет </w:t>
      </w:r>
      <w:r>
        <w:rPr>
          <w:b/>
          <w:sz w:val="28"/>
          <w:szCs w:val="28"/>
        </w:rPr>
        <w:t>98%.</w:t>
      </w:r>
    </w:p>
    <w:p w:rsidR="008109B7" w:rsidRDefault="00040DA1">
      <w:pPr>
        <w:pStyle w:val="a0"/>
      </w:pPr>
      <w:r>
        <w:rPr>
          <w:sz w:val="28"/>
          <w:szCs w:val="28"/>
        </w:rPr>
        <w:t xml:space="preserve">   Система поддержки и развития способностей у детей позволяет грамотно наладить взаимодействие на договорных началах с организациями </w:t>
      </w:r>
      <w:r>
        <w:rPr>
          <w:b/>
          <w:sz w:val="28"/>
          <w:szCs w:val="28"/>
        </w:rPr>
        <w:t xml:space="preserve">дополнительного образования, библиотека, экологический центр, филармония, школа № 3, МАУ «Методический центр», </w:t>
      </w:r>
      <w:r>
        <w:rPr>
          <w:b/>
          <w:sz w:val="28"/>
          <w:szCs w:val="28"/>
        </w:rPr>
        <w:t>государственная галерея МАДОУ ДОД ДМШ, музыкальная школа им. Глинки.</w:t>
      </w:r>
    </w:p>
    <w:p w:rsidR="008109B7" w:rsidRDefault="00040DA1">
      <w:pPr>
        <w:pStyle w:val="a0"/>
      </w:pPr>
      <w:r>
        <w:rPr>
          <w:sz w:val="28"/>
          <w:szCs w:val="28"/>
        </w:rPr>
        <w:t xml:space="preserve">     Наблюдается динамика  творческой активности, детей и педагогов.  Воспитанники ДОУ активно принимают участие в конкурсах разного уровня: «Почемучки», «Весёлые старты», «Колокольчик», </w:t>
      </w:r>
      <w:r>
        <w:rPr>
          <w:sz w:val="28"/>
          <w:szCs w:val="28"/>
        </w:rPr>
        <w:t>«Папа, мама, я спортивная семья», атак же в конкурсах художественно-эстетической направленности.</w:t>
      </w:r>
    </w:p>
    <w:p w:rsidR="008109B7" w:rsidRDefault="00040DA1">
      <w:pPr>
        <w:pStyle w:val="a0"/>
      </w:pPr>
      <w:r>
        <w:rPr>
          <w:sz w:val="28"/>
          <w:szCs w:val="28"/>
        </w:rPr>
        <w:t>Наши педагоги активно участвуют на  мероприятиях муниципального и областного уровня, где представляют свой опыт работы.</w:t>
      </w:r>
    </w:p>
    <w:p w:rsidR="008109B7" w:rsidRDefault="00040DA1">
      <w:pPr>
        <w:pStyle w:val="a0"/>
      </w:pPr>
      <w:r>
        <w:rPr>
          <w:b/>
          <w:sz w:val="28"/>
          <w:szCs w:val="28"/>
        </w:rPr>
        <w:t xml:space="preserve">  Деятельность ДОУ</w:t>
      </w:r>
      <w:r>
        <w:rPr>
          <w:sz w:val="28"/>
          <w:szCs w:val="28"/>
        </w:rPr>
        <w:t xml:space="preserve"> в режиме «инноваций»</w:t>
      </w:r>
      <w:r>
        <w:rPr>
          <w:sz w:val="28"/>
          <w:szCs w:val="28"/>
        </w:rPr>
        <w:t xml:space="preserve"> убедили руководство и педагогов в совершенствовании системы сохранения и укрепления здоровья воспитанников.</w:t>
      </w:r>
    </w:p>
    <w:p w:rsidR="008109B7" w:rsidRDefault="00040DA1">
      <w:pPr>
        <w:pStyle w:val="a0"/>
      </w:pPr>
      <w:r>
        <w:rPr>
          <w:b/>
          <w:sz w:val="28"/>
          <w:szCs w:val="28"/>
        </w:rPr>
        <w:t xml:space="preserve"> В соответствии с режимными моментами во всех группах проводится: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b/>
          <w:sz w:val="28"/>
          <w:szCs w:val="28"/>
        </w:rPr>
        <w:t>Утренняя гимнастика;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b/>
          <w:sz w:val="28"/>
          <w:szCs w:val="28"/>
        </w:rPr>
        <w:t>Физкультурные занятия;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b/>
          <w:sz w:val="28"/>
          <w:szCs w:val="28"/>
        </w:rPr>
        <w:t xml:space="preserve">Гимнастика пробуждения с элементами </w:t>
      </w:r>
      <w:r>
        <w:rPr>
          <w:b/>
          <w:sz w:val="28"/>
          <w:szCs w:val="28"/>
        </w:rPr>
        <w:t>закаливания (после дневного сна);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b/>
          <w:sz w:val="28"/>
          <w:szCs w:val="28"/>
        </w:rPr>
        <w:t>Двигательная разминка во время перерыва между занятиями.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 xml:space="preserve">  При неблагоприятных погодных условиях прогулка сокращается, либо проводится в хорошо проветриваемых помещениях при условии выполнения всех задач, определённых для </w:t>
      </w:r>
      <w:r>
        <w:rPr>
          <w:sz w:val="28"/>
          <w:szCs w:val="28"/>
        </w:rPr>
        <w:t xml:space="preserve">прогулки. </w:t>
      </w:r>
    </w:p>
    <w:p w:rsidR="008109B7" w:rsidRDefault="00040DA1">
      <w:pPr>
        <w:pStyle w:val="a0"/>
        <w:ind w:left="720"/>
      </w:pPr>
      <w:r>
        <w:rPr>
          <w:b/>
          <w:sz w:val="28"/>
          <w:szCs w:val="28"/>
        </w:rPr>
        <w:t xml:space="preserve">   Для профилактики респираторных заболеваний</w:t>
      </w:r>
      <w:r>
        <w:rPr>
          <w:sz w:val="28"/>
          <w:szCs w:val="28"/>
        </w:rPr>
        <w:t xml:space="preserve"> проводится вакцинация против гриппа, а так же  профилактические мероприятия (лук, чеснок, кварцевания). Заболеваемость одним ребёнком по саду составила 2,1 день.</w:t>
      </w:r>
    </w:p>
    <w:p w:rsidR="008109B7" w:rsidRDefault="00040DA1">
      <w:pPr>
        <w:pStyle w:val="a0"/>
        <w:ind w:left="720"/>
      </w:pPr>
      <w:r>
        <w:rPr>
          <w:b/>
          <w:sz w:val="28"/>
          <w:szCs w:val="28"/>
        </w:rPr>
        <w:t xml:space="preserve">  Одной из основных задач является за</w:t>
      </w:r>
      <w:r>
        <w:rPr>
          <w:b/>
          <w:sz w:val="28"/>
          <w:szCs w:val="28"/>
        </w:rPr>
        <w:t>дача-сохранение и укрепление психического и физического здоровья воспитанников.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 xml:space="preserve">    В ДОУ имеются помещения с соответствующими условиями для работы медицинского персонала. Оздоровительный блок оснащён: кабинетом старшей медицинской сестры, процедурным каби</w:t>
      </w:r>
      <w:r>
        <w:rPr>
          <w:sz w:val="28"/>
          <w:szCs w:val="28"/>
        </w:rPr>
        <w:t xml:space="preserve">нетом и изолятором. В течение года проводится работа по эффективности оздоровительной работы и определяет специальные группы в соответствии с состоянием здоровья воспитанников. 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 xml:space="preserve">    Важным из факторов оздоровления является здоровое питание. Питание в ДОУ о</w:t>
      </w:r>
      <w:r>
        <w:rPr>
          <w:sz w:val="28"/>
          <w:szCs w:val="28"/>
        </w:rPr>
        <w:t>рганизуется в соответствии с 10 дневным меню. Правильное питание является залогом здоровья дошкольников.</w:t>
      </w:r>
    </w:p>
    <w:p w:rsidR="008109B7" w:rsidRDefault="00040DA1">
      <w:pPr>
        <w:pStyle w:val="a0"/>
        <w:ind w:left="720"/>
      </w:pPr>
      <w:r>
        <w:rPr>
          <w:b/>
          <w:sz w:val="28"/>
          <w:szCs w:val="28"/>
        </w:rPr>
        <w:t>К организации питания в ДОУ предъявляются следующие требования: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 xml:space="preserve"> Соответствие энергетической ценности рациона энергозатрат ребёнка;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 xml:space="preserve">Сбалансированность </w:t>
      </w:r>
      <w:r>
        <w:rPr>
          <w:sz w:val="28"/>
          <w:szCs w:val="28"/>
        </w:rPr>
        <w:t>в рационе всех пищевых веществ;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>Разнообразие продуктов и блюд, обеспечивающих сбалансированность рациона;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Правильная технологическая и кулинарная обработка продуктов;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Оптимальный режим питания, обстановка, формирующая у детей навыки культуры и приёма пищи.</w:t>
      </w:r>
    </w:p>
    <w:p w:rsidR="008109B7" w:rsidRDefault="00040DA1">
      <w:pPr>
        <w:pStyle w:val="a0"/>
        <w:ind w:left="360"/>
      </w:pPr>
      <w:r>
        <w:rPr>
          <w:b/>
          <w:sz w:val="28"/>
          <w:szCs w:val="28"/>
        </w:rPr>
        <w:t>Особое внимание в ДОУ уделяется  безопасности воспитанников, с этой целью заключены договора на обслуживание всех систем по обеспечению безопасности и проводятся следующие организационные мероприятия: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>Установлена тревожная кнопка;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>Установлена противопожар</w:t>
      </w:r>
      <w:r>
        <w:rPr>
          <w:sz w:val="28"/>
          <w:szCs w:val="28"/>
        </w:rPr>
        <w:t>ная сигнализация;</w:t>
      </w:r>
    </w:p>
    <w:p w:rsidR="008109B7" w:rsidRDefault="00040DA1">
      <w:pPr>
        <w:pStyle w:val="a0"/>
        <w:numPr>
          <w:ilvl w:val="0"/>
          <w:numId w:val="3"/>
        </w:numPr>
      </w:pPr>
      <w:r>
        <w:rPr>
          <w:sz w:val="28"/>
          <w:szCs w:val="28"/>
        </w:rPr>
        <w:t>Оборудована система видеонаблюдения.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 xml:space="preserve">  На протяжении всего дня в ДОУ находится дежурный администратор, который отвечает за контрольно-пропускной режим и обеспечение безопасных условий пребывания детей и сотрудников.</w:t>
      </w:r>
    </w:p>
    <w:p w:rsidR="008109B7" w:rsidRDefault="00040DA1">
      <w:pPr>
        <w:pStyle w:val="a0"/>
      </w:pPr>
      <w:r>
        <w:rPr>
          <w:sz w:val="28"/>
          <w:szCs w:val="28"/>
        </w:rPr>
        <w:t xml:space="preserve"> </w:t>
      </w:r>
    </w:p>
    <w:p w:rsidR="008109B7" w:rsidRDefault="00040DA1">
      <w:pPr>
        <w:pStyle w:val="a0"/>
      </w:pPr>
      <w:r>
        <w:rPr>
          <w:b/>
          <w:sz w:val="28"/>
          <w:szCs w:val="28"/>
        </w:rPr>
        <w:t>Условия осуществлени</w:t>
      </w:r>
      <w:r>
        <w:rPr>
          <w:b/>
          <w:sz w:val="28"/>
          <w:szCs w:val="28"/>
        </w:rPr>
        <w:t>я образовательного процесса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 xml:space="preserve">Предметно-развивающая среда ДОУ совершенствуется в соответствии с ФГОС, отвечает принципам безопасности и  эстетичности. </w:t>
      </w:r>
    </w:p>
    <w:p w:rsidR="008109B7" w:rsidRDefault="00040DA1">
      <w:pPr>
        <w:pStyle w:val="a0"/>
        <w:ind w:left="720"/>
      </w:pPr>
      <w:r>
        <w:rPr>
          <w:b/>
          <w:sz w:val="28"/>
          <w:szCs w:val="28"/>
        </w:rPr>
        <w:t>ДОУ имеет объекты, оборудованные для реализации ООП</w:t>
      </w:r>
    </w:p>
    <w:tbl>
      <w:tblPr>
        <w:tblW w:w="0" w:type="auto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02"/>
        <w:gridCol w:w="4673"/>
      </w:tblGrid>
      <w:tr w:rsidR="008109B7"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Физкультурно-оздоровительные объекты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Культурообразующи</w:t>
            </w:r>
            <w:r>
              <w:rPr>
                <w:sz w:val="28"/>
                <w:szCs w:val="28"/>
              </w:rPr>
              <w:t>е объекты</w:t>
            </w:r>
          </w:p>
        </w:tc>
      </w:tr>
      <w:tr w:rsidR="008109B7"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1. спортивный зал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2.спортивная площадка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3. спортивный комплекс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4. 12 прогулочных участков.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1. музыкальный зал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2. 12 моделей предметно-развивающего пространства групп.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3. класс дополнительного образования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4. игротека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5. изостудия</w:t>
            </w:r>
          </w:p>
          <w:p w:rsidR="008109B7" w:rsidRDefault="008109B7">
            <w:pPr>
              <w:pStyle w:val="a0"/>
            </w:pPr>
          </w:p>
          <w:p w:rsidR="008109B7" w:rsidRDefault="008109B7">
            <w:pPr>
              <w:pStyle w:val="a0"/>
            </w:pPr>
          </w:p>
        </w:tc>
      </w:tr>
      <w:tr w:rsidR="008109B7"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8109B7">
            <w:pPr>
              <w:pStyle w:val="a0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Учебно-методические объекты</w:t>
            </w:r>
          </w:p>
        </w:tc>
      </w:tr>
      <w:tr w:rsidR="008109B7"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8109B7">
            <w:pPr>
              <w:pStyle w:val="a0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1. Методический кабинет</w:t>
            </w:r>
          </w:p>
          <w:p w:rsidR="008109B7" w:rsidRDefault="00040DA1">
            <w:pPr>
              <w:pStyle w:val="a0"/>
            </w:pPr>
            <w:r>
              <w:rPr>
                <w:sz w:val="28"/>
                <w:szCs w:val="28"/>
              </w:rPr>
              <w:t>2.Класс логопеда</w:t>
            </w:r>
          </w:p>
        </w:tc>
      </w:tr>
    </w:tbl>
    <w:p w:rsidR="008109B7" w:rsidRDefault="008109B7">
      <w:pPr>
        <w:pStyle w:val="a0"/>
        <w:ind w:left="720"/>
      </w:pPr>
    </w:p>
    <w:p w:rsidR="008109B7" w:rsidRDefault="00040DA1">
      <w:pPr>
        <w:pStyle w:val="a0"/>
        <w:ind w:left="720"/>
      </w:pPr>
      <w:r>
        <w:rPr>
          <w:sz w:val="28"/>
          <w:szCs w:val="28"/>
        </w:rPr>
        <w:t>Результаты освоения образовательной программы выпускниками ДОУ за 2014-2015 учебный год следующие: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>Всего выпускников: 52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>Уровень освоения Программы: 87%</w:t>
      </w:r>
    </w:p>
    <w:p w:rsidR="008109B7" w:rsidRDefault="00040DA1">
      <w:pPr>
        <w:pStyle w:val="a0"/>
        <w:ind w:left="720"/>
      </w:pPr>
      <w:r>
        <w:rPr>
          <w:b/>
          <w:sz w:val="28"/>
          <w:szCs w:val="28"/>
        </w:rPr>
        <w:t xml:space="preserve">Главный ресурс организации это педагогические кадры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Общая численность сотрудников по состоянию на. - 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педагогических работников – </w:t>
      </w:r>
      <w:r>
        <w:rPr>
          <w:rFonts w:ascii="Times New Roman" w:hAnsi="Times New Roman" w:cs="Times New Roman"/>
          <w:sz w:val="28"/>
          <w:szCs w:val="28"/>
          <w:u w:val="single"/>
        </w:rPr>
        <w:t>20;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административно- управленческих – </w:t>
      </w:r>
      <w:r>
        <w:rPr>
          <w:rFonts w:ascii="Times New Roman" w:hAnsi="Times New Roman" w:cs="Times New Roman"/>
          <w:sz w:val="28"/>
          <w:szCs w:val="28"/>
          <w:u w:val="single"/>
        </w:rPr>
        <w:t>3;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вспомогательных -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Численность педагогических работников, имеющих: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первую квалификационную категорию - </w:t>
      </w:r>
      <w:r>
        <w:rPr>
          <w:rFonts w:ascii="Times New Roman" w:hAnsi="Times New Roman" w:cs="Times New Roman"/>
          <w:sz w:val="28"/>
          <w:szCs w:val="28"/>
          <w:u w:val="single"/>
        </w:rPr>
        <w:t>2;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высшую квалификационную категорию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9B7" w:rsidRDefault="00040DA1">
      <w:pPr>
        <w:pStyle w:val="a0"/>
        <w:ind w:left="720"/>
      </w:pPr>
      <w:r>
        <w:rPr>
          <w:sz w:val="28"/>
          <w:szCs w:val="28"/>
        </w:rPr>
        <w:t>В ДОУ используются различные формы работы, способствующие профессиональному росту и повы</w:t>
      </w:r>
      <w:r>
        <w:rPr>
          <w:sz w:val="28"/>
          <w:szCs w:val="28"/>
        </w:rPr>
        <w:t>шению квалификации ( семинары, курсы повышения квалификации, проектная деятельность, участие во всех видах методической работы).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Число работников административно-управленческого персонала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прошедших  повышение квалификации по программе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«Менеджмент в образовании» - 2.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Доля педагогических работников организации прошедших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в течение    последних 3 лет повышение квалификации в соответствии с ФГОС, 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составила -70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Финансово-экономическая деятельность.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</w:t>
      </w:r>
      <w:r>
        <w:rPr>
          <w:rFonts w:ascii="Times New Roman" w:hAnsi="Times New Roman" w:cs="Times New Roman"/>
          <w:sz w:val="28"/>
          <w:szCs w:val="28"/>
        </w:rPr>
        <w:t>ивного использования бюджетных средств и  в целях решения уставных задач.</w:t>
      </w: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sz w:val="28"/>
          <w:szCs w:val="28"/>
        </w:rPr>
        <w:t>Основные источники финансирования: бюджетные  внебюджетные.</w:t>
      </w:r>
    </w:p>
    <w:p w:rsidR="008109B7" w:rsidRDefault="008109B7">
      <w:pPr>
        <w:pStyle w:val="ad"/>
        <w:ind w:left="-284"/>
        <w:jc w:val="left"/>
      </w:pP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1"/>
        <w:gridCol w:w="3442"/>
        <w:gridCol w:w="1701"/>
        <w:gridCol w:w="2267"/>
      </w:tblGrid>
      <w:tr w:rsidR="008109B7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  <w:jc w:val="left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t>2014 год.</w:t>
            </w: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t>2015 год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Бюджетные средства, привлеченные организацией (сверх норматива) за отчетный период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результате участия конкурсных мероприятиях, выделенных по ходатайству депутатов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тыс. руб.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 тыс. руб. 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 веранды);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2000000 мил. руб.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(утепление фасада)</w:t>
            </w: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 тыс.руб. (утепление фасада);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477 тыс. руб.(туалетные комнаты);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89.856 тыс.руб.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(крыльцо)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.500 руб.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(смена дверных блоков);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13.220 руб. ремонт цоколя</w:t>
            </w:r>
          </w:p>
          <w:p w:rsidR="008109B7" w:rsidRDefault="008109B7">
            <w:pPr>
              <w:pStyle w:val="ad"/>
              <w:spacing w:after="0"/>
              <w:jc w:val="left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Внебюджетные средства организации, привлеченные за отчетный период за счет грантов, предпринимательской деятельности, пожертвований частных лиц и негосударственных организаций, оказания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платных услуг, из них направлено на развитие материально-технической базы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тыс. руб.</w:t>
            </w: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тыс. руб.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585 850 рублей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на развитие материально-технической базы организации</w:t>
            </w:r>
          </w:p>
          <w:p w:rsidR="008109B7" w:rsidRDefault="00040DA1">
            <w:pPr>
              <w:pStyle w:val="ad"/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207 662 рубля</w:t>
            </w: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ПРИОБРЕТЕНИЯ: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</w:tr>
      <w:tr w:rsidR="008109B7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средства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Игрушки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литература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инвентарь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оборудование на участок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8109B7">
            <w:pPr>
              <w:pStyle w:val="ad"/>
              <w:spacing w:after="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109B7" w:rsidRDefault="00040DA1">
            <w:pPr>
              <w:pStyle w:val="ad"/>
              <w:spacing w:after="0"/>
            </w:pPr>
            <w:r>
              <w:t>172 432 8 рублей</w:t>
            </w:r>
          </w:p>
          <w:p w:rsidR="008109B7" w:rsidRDefault="00040DA1">
            <w:pPr>
              <w:pStyle w:val="ad"/>
              <w:spacing w:after="0"/>
            </w:pPr>
            <w:r>
              <w:t>14.136.30 рублей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t>12.7710 рублей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t>34.000 рублей</w:t>
            </w:r>
          </w:p>
          <w:p w:rsidR="008109B7" w:rsidRDefault="00040DA1">
            <w:pPr>
              <w:pStyle w:val="ad"/>
              <w:spacing w:after="0"/>
              <w:jc w:val="left"/>
            </w:pPr>
            <w:r>
              <w:t>130000 рублей.</w:t>
            </w:r>
          </w:p>
        </w:tc>
      </w:tr>
    </w:tbl>
    <w:p w:rsidR="008109B7" w:rsidRDefault="008109B7">
      <w:pPr>
        <w:pStyle w:val="ad"/>
        <w:ind w:left="-284"/>
        <w:jc w:val="left"/>
      </w:pPr>
    </w:p>
    <w:p w:rsidR="008109B7" w:rsidRDefault="00040DA1">
      <w:pPr>
        <w:pStyle w:val="ad"/>
        <w:ind w:left="-284"/>
        <w:jc w:val="left"/>
      </w:pPr>
      <w:r>
        <w:rPr>
          <w:rFonts w:ascii="Times New Roman" w:hAnsi="Times New Roman" w:cs="Times New Roman"/>
          <w:b/>
          <w:sz w:val="28"/>
          <w:szCs w:val="28"/>
        </w:rPr>
        <w:t>В ДОУ стабильная материально-техническая база. Плавно проходят ремонты, обеспечен выход в интернет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административно-управленческого персонала, повышается средняя заработная плата, улучшаются условия труда и развивающие объекты для детей.</w:t>
      </w: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040DA1">
      <w:pPr>
        <w:pStyle w:val="a0"/>
      </w:pPr>
      <w:r>
        <w:t xml:space="preserve">  1.   В рамках выполнения предписания № 641 от 03.04.2008г  Управления федеральной службы по надзору в сфере за</w:t>
      </w:r>
      <w:r>
        <w:t>щиты прав потребителей и благополучия  человека по Калининградской области в 2015 году   выполнены следующие ремонтные работы:</w:t>
      </w:r>
    </w:p>
    <w:p w:rsidR="008109B7" w:rsidRDefault="00040DA1">
      <w:pPr>
        <w:pStyle w:val="a0"/>
      </w:pPr>
      <w:r>
        <w:t>ремонт  туалетных комнат в трех группах:</w:t>
      </w:r>
    </w:p>
    <w:p w:rsidR="008109B7" w:rsidRDefault="00040DA1">
      <w:pPr>
        <w:pStyle w:val="a0"/>
      </w:pPr>
      <w:r>
        <w:t>Группа «Капельки»</w:t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604520</wp:posOffset>
            </wp:positionH>
            <wp:positionV relativeFrom="line">
              <wp:posOffset>-6127115</wp:posOffset>
            </wp:positionV>
            <wp:extent cx="3397885" cy="22675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9B7" w:rsidRDefault="008109B7">
      <w:pPr>
        <w:pStyle w:val="ad"/>
        <w:ind w:left="-284"/>
        <w:jc w:val="left"/>
      </w:pPr>
    </w:p>
    <w:p w:rsidR="008109B7" w:rsidRDefault="008109B7">
      <w:pPr>
        <w:pStyle w:val="ad"/>
        <w:ind w:left="-284"/>
        <w:jc w:val="left"/>
      </w:pPr>
    </w:p>
    <w:p w:rsidR="008109B7" w:rsidRDefault="008109B7">
      <w:pPr>
        <w:pStyle w:val="ad"/>
        <w:ind w:left="-284"/>
        <w:jc w:val="left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040DA1">
      <w:pPr>
        <w:pStyle w:val="a0"/>
      </w:pPr>
      <w:r>
        <w:t>Группа «Дельфинчики»</w:t>
      </w: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040DA1">
      <w:pPr>
        <w:pStyle w:val="a0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1176020</wp:posOffset>
            </wp:positionH>
            <wp:positionV relativeFrom="line">
              <wp:posOffset>3462020</wp:posOffset>
            </wp:positionV>
            <wp:extent cx="3397885" cy="226758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040DA1">
      <w:pPr>
        <w:pStyle w:val="a0"/>
      </w:pPr>
      <w:r>
        <w:t>Группа «Гномики»</w:t>
      </w:r>
    </w:p>
    <w:p w:rsidR="008109B7" w:rsidRDefault="008109B7">
      <w:pPr>
        <w:pStyle w:val="a0"/>
      </w:pPr>
    </w:p>
    <w:p w:rsidR="008109B7" w:rsidRDefault="00040DA1">
      <w:pPr>
        <w:pStyle w:val="a0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-63500</wp:posOffset>
            </wp:positionH>
            <wp:positionV relativeFrom="line">
              <wp:posOffset>-3432810</wp:posOffset>
            </wp:positionV>
            <wp:extent cx="3397885" cy="226758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8109B7">
      <w:pPr>
        <w:pStyle w:val="a0"/>
      </w:pPr>
    </w:p>
    <w:p w:rsidR="008109B7" w:rsidRDefault="00040DA1">
      <w:pPr>
        <w:pStyle w:val="a0"/>
      </w:pPr>
      <w:r>
        <w:t xml:space="preserve">2. По предписанию </w:t>
      </w:r>
      <w:r>
        <w:rPr>
          <w:color w:val="000000"/>
          <w:sz w:val="22"/>
        </w:rPr>
        <w:t>№ 181/1/130 по устранению нарушения обязательных требований пожарной безопасности от 17.06.2014, УНД ГУ МЧС России по КО выполнена замена линолеума  в коридоре второго этажа.</w:t>
      </w:r>
    </w:p>
    <w:p w:rsidR="008109B7" w:rsidRDefault="00040DA1">
      <w:pPr>
        <w:pStyle w:val="a0"/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haracter">
              <wp:posOffset>-357505</wp:posOffset>
            </wp:positionH>
            <wp:positionV relativeFrom="line">
              <wp:posOffset>22860</wp:posOffset>
            </wp:positionV>
            <wp:extent cx="2260600" cy="3081655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haracter">
              <wp:posOffset>2555875</wp:posOffset>
            </wp:positionH>
            <wp:positionV relativeFrom="line">
              <wp:posOffset>-1009015</wp:posOffset>
            </wp:positionV>
            <wp:extent cx="2185035" cy="3408680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09B7">
      <w:pgSz w:w="11906" w:h="16838"/>
      <w:pgMar w:top="851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9DA"/>
    <w:multiLevelType w:val="multilevel"/>
    <w:tmpl w:val="DE202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58645B"/>
    <w:multiLevelType w:val="multilevel"/>
    <w:tmpl w:val="90AC8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EB6815"/>
    <w:multiLevelType w:val="multilevel"/>
    <w:tmpl w:val="66040A1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D751D"/>
    <w:multiLevelType w:val="multilevel"/>
    <w:tmpl w:val="4AC02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B7"/>
    <w:rsid w:val="00040DA1"/>
    <w:rsid w:val="008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0"/>
    <w:pPr>
      <w:keepNext/>
      <w:jc w:val="center"/>
      <w:outlineLvl w:val="2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HTML">
    <w:name w:val="Стандартный HTML Знак"/>
    <w:basedOn w:val="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Название Знак"/>
    <w:basedOn w:val="a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Текст выноски Знак"/>
    <w:basedOn w:val="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Мой заголовок 2 Знак"/>
    <w:basedOn w:val="a1"/>
    <w:rPr>
      <w:rFonts w:ascii="Cambria" w:hAnsi="Cambria" w:cs="Cambria"/>
      <w:caps/>
      <w:color w:val="17365D"/>
      <w:spacing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pPr>
      <w:suppressLineNumbers/>
    </w:pPr>
  </w:style>
  <w:style w:type="paragraph" w:customStyle="1" w:styleId="ab">
    <w:name w:val="Заглавие"/>
    <w:basedOn w:val="a0"/>
    <w:pPr>
      <w:suppressLineNumbers/>
      <w:spacing w:before="120"/>
      <w:jc w:val="center"/>
    </w:pPr>
    <w:rPr>
      <w:i/>
      <w:iCs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20">
    <w:name w:val="Мой заголовок 2"/>
    <w:basedOn w:val="a0"/>
    <w:pPr>
      <w:pBdr>
        <w:bottom w:val="thinThickSmallGap" w:sz="12" w:space="0" w:color="943634"/>
      </w:pBdr>
      <w:spacing w:before="28" w:after="28" w:line="252" w:lineRule="auto"/>
      <w:jc w:val="center"/>
    </w:pPr>
    <w:rPr>
      <w:rFonts w:ascii="Cambria" w:hAnsi="Cambria"/>
      <w:caps/>
      <w:color w:val="17365D"/>
      <w:spacing w:val="20"/>
      <w:lang w:eastAsia="en-US"/>
    </w:rPr>
  </w:style>
  <w:style w:type="paragraph" w:styleId="ad">
    <w:name w:val="No Spacing"/>
    <w:pPr>
      <w:suppressAutoHyphens/>
      <w:spacing w:before="28" w:after="28" w:line="100" w:lineRule="atLeast"/>
      <w:jc w:val="center"/>
    </w:pPr>
    <w:rPr>
      <w:rFonts w:ascii="Calibri" w:eastAsia="Times New Roman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0"/>
    <w:pPr>
      <w:keepNext/>
      <w:jc w:val="center"/>
      <w:outlineLvl w:val="2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HTML">
    <w:name w:val="Стандартный HTML Знак"/>
    <w:basedOn w:val="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Название Знак"/>
    <w:basedOn w:val="a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Текст выноски Знак"/>
    <w:basedOn w:val="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Мой заголовок 2 Знак"/>
    <w:basedOn w:val="a1"/>
    <w:rPr>
      <w:rFonts w:ascii="Cambria" w:hAnsi="Cambria" w:cs="Cambria"/>
      <w:caps/>
      <w:color w:val="17365D"/>
      <w:spacing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0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pPr>
      <w:suppressLineNumbers/>
    </w:pPr>
  </w:style>
  <w:style w:type="paragraph" w:customStyle="1" w:styleId="ab">
    <w:name w:val="Заглавие"/>
    <w:basedOn w:val="a0"/>
    <w:pPr>
      <w:suppressLineNumbers/>
      <w:spacing w:before="120"/>
      <w:jc w:val="center"/>
    </w:pPr>
    <w:rPr>
      <w:i/>
      <w:iCs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20">
    <w:name w:val="Мой заголовок 2"/>
    <w:basedOn w:val="a0"/>
    <w:pPr>
      <w:pBdr>
        <w:bottom w:val="thinThickSmallGap" w:sz="12" w:space="0" w:color="943634"/>
      </w:pBdr>
      <w:spacing w:before="28" w:after="28" w:line="252" w:lineRule="auto"/>
      <w:jc w:val="center"/>
    </w:pPr>
    <w:rPr>
      <w:rFonts w:ascii="Cambria" w:hAnsi="Cambria"/>
      <w:caps/>
      <w:color w:val="17365D"/>
      <w:spacing w:val="20"/>
      <w:lang w:eastAsia="en-US"/>
    </w:rPr>
  </w:style>
  <w:style w:type="paragraph" w:styleId="ad">
    <w:name w:val="No Spacing"/>
    <w:pPr>
      <w:suppressAutoHyphens/>
      <w:spacing w:before="28" w:after="28" w:line="100" w:lineRule="atLeast"/>
      <w:jc w:val="center"/>
    </w:pPr>
    <w:rPr>
      <w:rFonts w:ascii="Calibri" w:eastAsia="Times New Roman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2556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Wizard</cp:lastModifiedBy>
  <cp:revision>2</cp:revision>
  <cp:lastPrinted>2015-09-30T09:36:00Z</cp:lastPrinted>
  <dcterms:created xsi:type="dcterms:W3CDTF">2016-03-29T15:02:00Z</dcterms:created>
  <dcterms:modified xsi:type="dcterms:W3CDTF">2016-03-29T15:02:00Z</dcterms:modified>
</cp:coreProperties>
</file>